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B5" w:rsidRPr="00717D71" w:rsidRDefault="00571BB5" w:rsidP="00717D71">
      <w:pPr>
        <w:pStyle w:val="af5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</w:t>
      </w:r>
      <w:r w:rsidRPr="00717D71">
        <w:rPr>
          <w:sz w:val="28"/>
          <w:szCs w:val="28"/>
        </w:rPr>
        <w:t>Приложение 1</w:t>
      </w:r>
    </w:p>
    <w:p w:rsidR="00571BB5" w:rsidRPr="00717D71" w:rsidRDefault="00571BB5" w:rsidP="00717D71">
      <w:pPr>
        <w:pStyle w:val="af5"/>
        <w:jc w:val="right"/>
        <w:rPr>
          <w:sz w:val="28"/>
          <w:szCs w:val="28"/>
        </w:rPr>
      </w:pPr>
      <w:r w:rsidRPr="00717D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Утверждено:</w:t>
      </w:r>
    </w:p>
    <w:p w:rsidR="00571BB5" w:rsidRPr="00717D71" w:rsidRDefault="00571BB5" w:rsidP="00717D71">
      <w:pPr>
        <w:pStyle w:val="af5"/>
        <w:jc w:val="right"/>
        <w:rPr>
          <w:sz w:val="28"/>
          <w:szCs w:val="28"/>
        </w:rPr>
      </w:pPr>
      <w:r w:rsidRPr="00717D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распоряжением администрации</w:t>
      </w:r>
    </w:p>
    <w:p w:rsidR="00571BB5" w:rsidRPr="00717D71" w:rsidRDefault="00571BB5" w:rsidP="00717D71">
      <w:pPr>
        <w:pStyle w:val="af5"/>
        <w:jc w:val="right"/>
        <w:rPr>
          <w:sz w:val="28"/>
          <w:szCs w:val="28"/>
        </w:rPr>
      </w:pPr>
      <w:r w:rsidRPr="00717D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Тулунского муниципального</w:t>
      </w:r>
    </w:p>
    <w:p w:rsidR="00571BB5" w:rsidRPr="00717D71" w:rsidRDefault="00571BB5" w:rsidP="00717D71">
      <w:pPr>
        <w:pStyle w:val="af5"/>
        <w:jc w:val="right"/>
        <w:rPr>
          <w:sz w:val="28"/>
          <w:szCs w:val="28"/>
        </w:rPr>
      </w:pPr>
      <w:r w:rsidRPr="00717D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района</w:t>
      </w:r>
    </w:p>
    <w:p w:rsidR="00571BB5" w:rsidRPr="00717D71" w:rsidRDefault="00571BB5" w:rsidP="00717D71">
      <w:pPr>
        <w:pStyle w:val="af5"/>
        <w:jc w:val="right"/>
        <w:rPr>
          <w:sz w:val="28"/>
          <w:szCs w:val="28"/>
        </w:rPr>
      </w:pPr>
      <w:r w:rsidRPr="00717D7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от «____» ________2022г.</w:t>
      </w:r>
    </w:p>
    <w:p w:rsidR="00571BB5" w:rsidRDefault="00571BB5" w:rsidP="00DB4CED">
      <w:pPr>
        <w:rPr>
          <w:sz w:val="28"/>
          <w:szCs w:val="28"/>
        </w:rPr>
      </w:pPr>
    </w:p>
    <w:p w:rsidR="00571BB5" w:rsidRPr="00DB4CED" w:rsidRDefault="00571BB5" w:rsidP="00DB4CED">
      <w:pPr>
        <w:spacing w:line="240" w:lineRule="auto"/>
        <w:rPr>
          <w:sz w:val="28"/>
          <w:szCs w:val="28"/>
        </w:rPr>
      </w:pPr>
    </w:p>
    <w:p w:rsidR="00571BB5" w:rsidRPr="00512C8F" w:rsidRDefault="00571BB5" w:rsidP="0004146E">
      <w:pPr>
        <w:spacing w:after="0" w:line="240" w:lineRule="auto"/>
        <w:jc w:val="center"/>
        <w:rPr>
          <w:b/>
          <w:sz w:val="28"/>
          <w:szCs w:val="28"/>
        </w:rPr>
      </w:pPr>
      <w:r w:rsidRPr="00512C8F">
        <w:rPr>
          <w:b/>
          <w:sz w:val="28"/>
          <w:szCs w:val="28"/>
        </w:rPr>
        <w:t>ПЕРЕЧЕНЬ</w:t>
      </w:r>
    </w:p>
    <w:p w:rsidR="00571BB5" w:rsidRDefault="00571BB5" w:rsidP="000C08FA">
      <w:pPr>
        <w:spacing w:after="0" w:line="240" w:lineRule="auto"/>
        <w:jc w:val="center"/>
        <w:rPr>
          <w:b/>
          <w:sz w:val="28"/>
          <w:szCs w:val="28"/>
        </w:rPr>
      </w:pPr>
      <w:r w:rsidRPr="00512C8F">
        <w:rPr>
          <w:b/>
          <w:sz w:val="28"/>
          <w:szCs w:val="28"/>
        </w:rPr>
        <w:t>ТОВАРНЫХ РЫНКОВ ДЛЯ СОДЕЙСТВИЯ РАЗВИТИЮ КОНКУРЕНЦИИ</w:t>
      </w:r>
      <w:r w:rsidRPr="000C08FA">
        <w:rPr>
          <w:b/>
          <w:sz w:val="28"/>
          <w:szCs w:val="28"/>
        </w:rPr>
        <w:t>НА ТЕРРИТОРИИ МУ</w:t>
      </w:r>
      <w:r>
        <w:rPr>
          <w:b/>
          <w:sz w:val="28"/>
          <w:szCs w:val="28"/>
        </w:rPr>
        <w:t>НИЦИПАЛЬНОГО ОБРАЗОВАНИЯ «ТУЛУНСКИЙ РАЙОН» НА 2022-2025годы</w:t>
      </w:r>
    </w:p>
    <w:p w:rsidR="00571BB5" w:rsidRPr="00742465" w:rsidRDefault="00571BB5" w:rsidP="000C08FA">
      <w:pPr>
        <w:spacing w:after="0" w:line="240" w:lineRule="auto"/>
        <w:jc w:val="center"/>
        <w:rPr>
          <w:sz w:val="24"/>
          <w:szCs w:val="26"/>
        </w:rPr>
      </w:pPr>
    </w:p>
    <w:tbl>
      <w:tblPr>
        <w:tblW w:w="5354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2"/>
        <w:gridCol w:w="3515"/>
        <w:gridCol w:w="5173"/>
        <w:gridCol w:w="1942"/>
        <w:gridCol w:w="1797"/>
        <w:gridCol w:w="2785"/>
      </w:tblGrid>
      <w:tr w:rsidR="00571BB5" w:rsidRPr="00564D4B" w:rsidTr="004E017C">
        <w:trPr>
          <w:tblHeader/>
        </w:trPr>
        <w:tc>
          <w:tcPr>
            <w:tcW w:w="166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№ п/п</w:t>
            </w:r>
          </w:p>
        </w:tc>
        <w:tc>
          <w:tcPr>
            <w:tcW w:w="1117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1644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617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Значение ключевого показателя по состоянию на 01.01.2022 года</w:t>
            </w:r>
          </w:p>
        </w:tc>
        <w:tc>
          <w:tcPr>
            <w:tcW w:w="571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Минимальное значение ключевого показателя к 31.12.2025 года</w:t>
            </w:r>
          </w:p>
        </w:tc>
        <w:tc>
          <w:tcPr>
            <w:tcW w:w="885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71BB5" w:rsidRPr="00564D4B" w:rsidTr="004E017C">
        <w:tc>
          <w:tcPr>
            <w:tcW w:w="166" w:type="pct"/>
            <w:vMerge w:val="restar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1.</w:t>
            </w:r>
          </w:p>
        </w:tc>
        <w:tc>
          <w:tcPr>
            <w:tcW w:w="1117" w:type="pct"/>
          </w:tcPr>
          <w:p w:rsidR="00571BB5" w:rsidRPr="00564D4B" w:rsidRDefault="00571BB5" w:rsidP="00490E1F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 xml:space="preserve">Рынок  строительства объектов капитального строительства, за исключением жилищного и дорожного строительства   </w:t>
            </w:r>
          </w:p>
        </w:tc>
        <w:tc>
          <w:tcPr>
            <w:tcW w:w="1644" w:type="pct"/>
          </w:tcPr>
          <w:p w:rsidR="00571BB5" w:rsidRPr="00564D4B" w:rsidRDefault="00571BB5" w:rsidP="00490E1F">
            <w:pPr>
              <w:pStyle w:val="af5"/>
              <w:jc w:val="both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Доля  организаций частной формы собственности в сфере строительства объектов капитального строительства , за исключением жилищного и дорожного строительства, %</w:t>
            </w:r>
          </w:p>
        </w:tc>
        <w:tc>
          <w:tcPr>
            <w:tcW w:w="617" w:type="pct"/>
          </w:tcPr>
          <w:p w:rsidR="00571BB5" w:rsidRPr="00564D4B" w:rsidRDefault="00571BB5" w:rsidP="00564D4B">
            <w:pPr>
              <w:pStyle w:val="af5"/>
              <w:rPr>
                <w:i/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100</w:t>
            </w:r>
          </w:p>
        </w:tc>
        <w:tc>
          <w:tcPr>
            <w:tcW w:w="571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100</w:t>
            </w:r>
          </w:p>
        </w:tc>
        <w:tc>
          <w:tcPr>
            <w:tcW w:w="885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Администрация Тулунского муниципального района</w:t>
            </w:r>
          </w:p>
        </w:tc>
      </w:tr>
      <w:tr w:rsidR="00571BB5" w:rsidRPr="00564D4B" w:rsidTr="00742465">
        <w:tc>
          <w:tcPr>
            <w:tcW w:w="166" w:type="pct"/>
            <w:vMerge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:rsidR="00571BB5" w:rsidRPr="00564D4B" w:rsidRDefault="00571BB5" w:rsidP="00490E1F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717" w:type="pct"/>
            <w:gridSpan w:val="4"/>
          </w:tcPr>
          <w:p w:rsidR="00571BB5" w:rsidRPr="00564D4B" w:rsidRDefault="00571BB5" w:rsidP="00490E1F">
            <w:pPr>
              <w:pStyle w:val="af5"/>
              <w:jc w:val="both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В период 2020-2022гг. на территории Тулунского муниципального района определение подрядчиков на выполнение работ по строительству и капитальному ремонту объектов, находящихся в муниципальной собственности осуществлялось по итогам конкурентных процедур. Подрядчиками ( непосредственными исполнителями работ ) являются юридические лица, индивидуальные предприниматели без государственного и (или) муниципального участия.</w:t>
            </w:r>
          </w:p>
        </w:tc>
      </w:tr>
      <w:tr w:rsidR="00571BB5" w:rsidRPr="00564D4B" w:rsidTr="004E017C">
        <w:tc>
          <w:tcPr>
            <w:tcW w:w="166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2.</w:t>
            </w:r>
          </w:p>
        </w:tc>
        <w:tc>
          <w:tcPr>
            <w:tcW w:w="1117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 xml:space="preserve">Рынок  дорожной деятельности </w:t>
            </w:r>
            <w:r w:rsidRPr="00564D4B">
              <w:rPr>
                <w:sz w:val="24"/>
                <w:szCs w:val="24"/>
              </w:rPr>
              <w:lastRenderedPageBreak/>
              <w:t>(за исключением проектирования)</w:t>
            </w:r>
          </w:p>
        </w:tc>
        <w:tc>
          <w:tcPr>
            <w:tcW w:w="1644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lastRenderedPageBreak/>
              <w:t xml:space="preserve">Доля  организаций частной формы </w:t>
            </w:r>
            <w:r w:rsidRPr="00564D4B">
              <w:rPr>
                <w:sz w:val="24"/>
                <w:szCs w:val="24"/>
              </w:rPr>
              <w:lastRenderedPageBreak/>
              <w:t>собственности в сфере дорожной деятельности  (за исключением проектирования),%</w:t>
            </w:r>
          </w:p>
        </w:tc>
        <w:tc>
          <w:tcPr>
            <w:tcW w:w="617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571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80</w:t>
            </w:r>
          </w:p>
        </w:tc>
        <w:tc>
          <w:tcPr>
            <w:tcW w:w="885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 xml:space="preserve">Комитет по </w:t>
            </w:r>
            <w:r w:rsidRPr="00564D4B">
              <w:rPr>
                <w:sz w:val="24"/>
                <w:szCs w:val="24"/>
              </w:rPr>
              <w:lastRenderedPageBreak/>
              <w:t>строительству, дорожному хозяйству администрации Тулунского муниципального района</w:t>
            </w:r>
          </w:p>
        </w:tc>
      </w:tr>
      <w:tr w:rsidR="00571BB5" w:rsidRPr="00564D4B" w:rsidTr="00DB181B">
        <w:tc>
          <w:tcPr>
            <w:tcW w:w="166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717" w:type="pct"/>
            <w:gridSpan w:val="4"/>
          </w:tcPr>
          <w:p w:rsidR="00571BB5" w:rsidRPr="00564D4B" w:rsidRDefault="00571BB5" w:rsidP="00490E1F">
            <w:pPr>
              <w:pStyle w:val="af5"/>
              <w:jc w:val="both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 xml:space="preserve">Администрацией Тулунского муниципального района осуществляется координация работы по автомобильным дорогам местного значения вне границ населенных пунктов. По </w:t>
            </w:r>
            <w:r w:rsidR="00564D4B" w:rsidRPr="00564D4B">
              <w:rPr>
                <w:sz w:val="24"/>
                <w:szCs w:val="24"/>
              </w:rPr>
              <w:t>итогам 2021</w:t>
            </w:r>
            <w:r w:rsidRPr="00564D4B">
              <w:rPr>
                <w:sz w:val="24"/>
                <w:szCs w:val="24"/>
              </w:rPr>
              <w:t xml:space="preserve"> года в результате конкурентных процедур, проведенных администрацией Тулунского муниципального района, подрядчиками по ремонту и содержанию автомобильных дорог стали организаций частной и государственной формы собственности. Конкурентные процедуры проводятся в соответствии с Федеральным законом № 44-ФЗ.   </w:t>
            </w:r>
          </w:p>
        </w:tc>
      </w:tr>
      <w:tr w:rsidR="00571BB5" w:rsidRPr="00564D4B" w:rsidTr="004E017C">
        <w:tc>
          <w:tcPr>
            <w:tcW w:w="166" w:type="pct"/>
            <w:vMerge w:val="restar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3.</w:t>
            </w:r>
          </w:p>
        </w:tc>
        <w:tc>
          <w:tcPr>
            <w:tcW w:w="1117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Рынок  теплоснабжения (производство тепловой энергии)</w:t>
            </w:r>
          </w:p>
        </w:tc>
        <w:tc>
          <w:tcPr>
            <w:tcW w:w="1644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Доля организаций частной формы собственности в сфере  теплоснабжения (производство тепловой энергии),%</w:t>
            </w:r>
          </w:p>
        </w:tc>
        <w:tc>
          <w:tcPr>
            <w:tcW w:w="617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15</w:t>
            </w:r>
          </w:p>
        </w:tc>
        <w:tc>
          <w:tcPr>
            <w:tcW w:w="571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20</w:t>
            </w:r>
          </w:p>
        </w:tc>
        <w:tc>
          <w:tcPr>
            <w:tcW w:w="885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Администрации сельских поселений Тулунского муниципального района</w:t>
            </w:r>
          </w:p>
        </w:tc>
      </w:tr>
      <w:tr w:rsidR="00571BB5" w:rsidRPr="00564D4B" w:rsidTr="002B584C">
        <w:tc>
          <w:tcPr>
            <w:tcW w:w="166" w:type="pct"/>
            <w:vMerge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717" w:type="pct"/>
            <w:gridSpan w:val="4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 xml:space="preserve">По итогам 2021 года в Тулунском муниципальном районе общий объем полезного отпуска тепловой энергии </w:t>
            </w:r>
            <w:r w:rsidR="00564D4B" w:rsidRPr="00564D4B">
              <w:rPr>
                <w:sz w:val="24"/>
                <w:szCs w:val="24"/>
              </w:rPr>
              <w:t>составил,</w:t>
            </w:r>
            <w:r w:rsidRPr="00564D4B">
              <w:rPr>
                <w:sz w:val="24"/>
                <w:szCs w:val="24"/>
              </w:rPr>
              <w:t xml:space="preserve"> в том числе:</w:t>
            </w:r>
          </w:p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Организацией частной собственности – 2918 Гкал (15%).</w:t>
            </w:r>
          </w:p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 xml:space="preserve"> Организацией муниципальной собственности – 19390,3 Гкал (85%).</w:t>
            </w:r>
          </w:p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Проблемные вопросы по рынку отсутствуют. Неэффективные предприятия отсутствуют. Таким образом, рынок теплоснабжения включен в Перечень для дальнейшего содействия развитию конкуренции на данном рынке.</w:t>
            </w:r>
          </w:p>
        </w:tc>
      </w:tr>
      <w:tr w:rsidR="00571BB5" w:rsidRPr="00564D4B" w:rsidTr="004E017C">
        <w:tc>
          <w:tcPr>
            <w:tcW w:w="166" w:type="pct"/>
            <w:vMerge w:val="restar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4.</w:t>
            </w:r>
          </w:p>
        </w:tc>
        <w:tc>
          <w:tcPr>
            <w:tcW w:w="1117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644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617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28</w:t>
            </w:r>
          </w:p>
        </w:tc>
        <w:tc>
          <w:tcPr>
            <w:tcW w:w="571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56</w:t>
            </w:r>
          </w:p>
        </w:tc>
        <w:tc>
          <w:tcPr>
            <w:tcW w:w="885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Администрации сельских поселений Тулунского муниципального района</w:t>
            </w:r>
          </w:p>
        </w:tc>
      </w:tr>
      <w:tr w:rsidR="00571BB5" w:rsidRPr="00564D4B" w:rsidTr="002B584C">
        <w:tc>
          <w:tcPr>
            <w:tcW w:w="166" w:type="pct"/>
            <w:vMerge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717" w:type="pct"/>
            <w:gridSpan w:val="4"/>
          </w:tcPr>
          <w:p w:rsidR="00571BB5" w:rsidRPr="00564D4B" w:rsidRDefault="00571BB5" w:rsidP="00490E1F">
            <w:pPr>
              <w:pStyle w:val="af5"/>
              <w:jc w:val="both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 xml:space="preserve">В соответствии с частью 2 статьи 161 Жилищного кодекса РФ собственники помещений в многоквартирном </w:t>
            </w:r>
            <w:r w:rsidR="00A53E94" w:rsidRPr="00564D4B">
              <w:rPr>
                <w:sz w:val="24"/>
                <w:szCs w:val="24"/>
              </w:rPr>
              <w:t>доме (</w:t>
            </w:r>
            <w:r w:rsidRPr="00564D4B">
              <w:rPr>
                <w:sz w:val="24"/>
                <w:szCs w:val="24"/>
              </w:rPr>
              <w:t>МКД) обязаны выбрать один из способов управления в МКД:</w:t>
            </w:r>
          </w:p>
          <w:p w:rsidR="00571BB5" w:rsidRPr="00564D4B" w:rsidRDefault="00571BB5" w:rsidP="00490E1F">
            <w:pPr>
              <w:pStyle w:val="af5"/>
              <w:jc w:val="both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1.Непосредственное управление собственниками помещений в МКД, количество квартир в котором составляет не более чем 30;</w:t>
            </w:r>
          </w:p>
          <w:p w:rsidR="00571BB5" w:rsidRPr="00564D4B" w:rsidRDefault="00571BB5" w:rsidP="00490E1F">
            <w:pPr>
              <w:pStyle w:val="af5"/>
              <w:jc w:val="both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 xml:space="preserve">2. Управление товариществом собственников жилья либо жилищным кооперативом </w:t>
            </w:r>
            <w:r w:rsidR="00A53E94" w:rsidRPr="00564D4B">
              <w:rPr>
                <w:sz w:val="24"/>
                <w:szCs w:val="24"/>
              </w:rPr>
              <w:t>или иным</w:t>
            </w:r>
            <w:r w:rsidRPr="00564D4B">
              <w:rPr>
                <w:sz w:val="24"/>
                <w:szCs w:val="24"/>
              </w:rPr>
              <w:t xml:space="preserve"> </w:t>
            </w:r>
            <w:r w:rsidR="00A53E94" w:rsidRPr="00564D4B">
              <w:rPr>
                <w:sz w:val="24"/>
                <w:szCs w:val="24"/>
              </w:rPr>
              <w:t>специализированным потребительским</w:t>
            </w:r>
            <w:r w:rsidRPr="00564D4B">
              <w:rPr>
                <w:sz w:val="24"/>
                <w:szCs w:val="24"/>
              </w:rPr>
              <w:t xml:space="preserve"> кооперативом;</w:t>
            </w:r>
          </w:p>
          <w:p w:rsidR="00571BB5" w:rsidRPr="00564D4B" w:rsidRDefault="00571BB5" w:rsidP="00490E1F">
            <w:pPr>
              <w:pStyle w:val="af5"/>
              <w:jc w:val="both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3.  Управление управляющей организацией.</w:t>
            </w:r>
          </w:p>
          <w:p w:rsidR="00571BB5" w:rsidRPr="00564D4B" w:rsidRDefault="00571BB5" w:rsidP="00490E1F">
            <w:pPr>
              <w:pStyle w:val="af5"/>
              <w:jc w:val="both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 xml:space="preserve">Деятельность по управлению МКД </w:t>
            </w:r>
            <w:r w:rsidR="00A53E94" w:rsidRPr="00564D4B">
              <w:rPr>
                <w:sz w:val="24"/>
                <w:szCs w:val="24"/>
              </w:rPr>
              <w:t>(выполнение</w:t>
            </w:r>
            <w:r w:rsidRPr="00564D4B">
              <w:rPr>
                <w:sz w:val="24"/>
                <w:szCs w:val="24"/>
              </w:rPr>
              <w:t xml:space="preserve"> работ и </w:t>
            </w:r>
            <w:r w:rsidR="00A53E94" w:rsidRPr="00564D4B">
              <w:rPr>
                <w:sz w:val="24"/>
                <w:szCs w:val="24"/>
              </w:rPr>
              <w:t>(или</w:t>
            </w:r>
            <w:r w:rsidRPr="00564D4B">
              <w:rPr>
                <w:sz w:val="24"/>
                <w:szCs w:val="24"/>
              </w:rPr>
              <w:t xml:space="preserve">) оказание услуг по управлению </w:t>
            </w:r>
            <w:r w:rsidR="00490E1F" w:rsidRPr="00564D4B">
              <w:rPr>
                <w:sz w:val="24"/>
                <w:szCs w:val="24"/>
              </w:rPr>
              <w:t>МКД на</w:t>
            </w:r>
            <w:r w:rsidRPr="00564D4B">
              <w:rPr>
                <w:sz w:val="24"/>
                <w:szCs w:val="24"/>
              </w:rPr>
              <w:t xml:space="preserve"> основании договора управления МКД) осуществляется управляющими организациями  на основании лицензии на осуществлении предпринимательской деятельности по управлению МКД, выданной органом государственного жилищного надзора на основании решения лицензионной комиссии субъекта РФ.</w:t>
            </w:r>
          </w:p>
          <w:p w:rsidR="00571BB5" w:rsidRPr="00564D4B" w:rsidRDefault="00571BB5" w:rsidP="00490E1F">
            <w:pPr>
              <w:pStyle w:val="af5"/>
              <w:jc w:val="both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В соответствии с формой статистического наблюдения № 22-ЖКХ (реформа) «Сведения о структурных преобразованиях и организационных мероприятиях в сфере жилищно-коммунального хозяйства», утвержденной приказом Федеральной службы государственной статистики от 10.07.2015г. № 305, на 01.01.2022г. доля площади помещений в МКД, находящихся в управлении управляющих организаций только частной формы собственности, составила 28%.</w:t>
            </w:r>
          </w:p>
          <w:p w:rsidR="00571BB5" w:rsidRPr="00564D4B" w:rsidRDefault="00571BB5" w:rsidP="00490E1F">
            <w:pPr>
              <w:pStyle w:val="af5"/>
              <w:jc w:val="both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 xml:space="preserve">Способ управления МКД не выбран и не реализован в п.4-е отделение ГСС в 1 доме, </w:t>
            </w:r>
            <w:r w:rsidR="00A53E94" w:rsidRPr="00564D4B">
              <w:rPr>
                <w:sz w:val="24"/>
                <w:szCs w:val="24"/>
              </w:rPr>
              <w:t>в с.</w:t>
            </w:r>
            <w:r w:rsidRPr="00564D4B">
              <w:rPr>
                <w:sz w:val="24"/>
                <w:szCs w:val="24"/>
              </w:rPr>
              <w:t xml:space="preserve"> Азей в 5 домах.</w:t>
            </w:r>
          </w:p>
          <w:p w:rsidR="00571BB5" w:rsidRPr="00564D4B" w:rsidRDefault="00571BB5" w:rsidP="00490E1F">
            <w:pPr>
              <w:pStyle w:val="af5"/>
              <w:jc w:val="both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 xml:space="preserve">Неоднократно объявлялся открытый конкурс на право заключения договора управления МКД, </w:t>
            </w:r>
            <w:r w:rsidR="00A53E94" w:rsidRPr="00564D4B">
              <w:rPr>
                <w:sz w:val="24"/>
                <w:szCs w:val="24"/>
              </w:rPr>
              <w:t>Конкурсы признавались</w:t>
            </w:r>
            <w:r w:rsidRPr="00564D4B">
              <w:rPr>
                <w:sz w:val="24"/>
                <w:szCs w:val="24"/>
              </w:rPr>
              <w:t xml:space="preserve"> не состоявшимися в связи с отсутствием участников.</w:t>
            </w:r>
          </w:p>
          <w:p w:rsidR="00571BB5" w:rsidRPr="00564D4B" w:rsidRDefault="00571BB5" w:rsidP="00490E1F">
            <w:pPr>
              <w:pStyle w:val="af5"/>
              <w:jc w:val="both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Таким образом, рынок выполнения работ по содержанию и текущему ремонту  общего имущества собственников  помещений в многоквартирном доме включен в Перечень для дальнейшего содействия развитию конкуренции на данном рынке и решения существующей проблемы по выбору и реализации способа управления МКД.</w:t>
            </w:r>
          </w:p>
        </w:tc>
      </w:tr>
      <w:tr w:rsidR="00571BB5" w:rsidRPr="00564D4B" w:rsidTr="004E017C">
        <w:tc>
          <w:tcPr>
            <w:tcW w:w="166" w:type="pct"/>
            <w:vMerge w:val="restar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117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Рынок торговли</w:t>
            </w:r>
          </w:p>
        </w:tc>
        <w:tc>
          <w:tcPr>
            <w:tcW w:w="1644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 xml:space="preserve">увеличение количества нестационарных торговых объектов и торговых мест под них, % по отношению к показателям </w:t>
            </w:r>
            <w:r w:rsidRPr="00564D4B">
              <w:rPr>
                <w:sz w:val="24"/>
                <w:szCs w:val="24"/>
              </w:rPr>
              <w:br/>
            </w:r>
            <w:r w:rsidRPr="00564D4B">
              <w:rPr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617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71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10</w:t>
            </w:r>
          </w:p>
        </w:tc>
        <w:tc>
          <w:tcPr>
            <w:tcW w:w="885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 xml:space="preserve">Комитет по экономике и развитию предпринимательства </w:t>
            </w:r>
            <w:r w:rsidRPr="00564D4B">
              <w:rPr>
                <w:sz w:val="24"/>
                <w:szCs w:val="24"/>
              </w:rPr>
              <w:lastRenderedPageBreak/>
              <w:t>администрации Тулунского муниципального района</w:t>
            </w:r>
          </w:p>
        </w:tc>
      </w:tr>
      <w:tr w:rsidR="00571BB5" w:rsidRPr="00564D4B" w:rsidTr="00072AF6">
        <w:tc>
          <w:tcPr>
            <w:tcW w:w="166" w:type="pct"/>
            <w:vMerge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717" w:type="pct"/>
            <w:gridSpan w:val="4"/>
          </w:tcPr>
          <w:p w:rsidR="00571BB5" w:rsidRPr="00564D4B" w:rsidRDefault="00571BB5" w:rsidP="00490E1F">
            <w:pPr>
              <w:pStyle w:val="af5"/>
              <w:jc w:val="both"/>
              <w:rPr>
                <w:sz w:val="24"/>
                <w:szCs w:val="24"/>
              </w:rPr>
            </w:pPr>
            <w:bookmarkStart w:id="0" w:name="_GoBack"/>
            <w:r w:rsidRPr="00564D4B">
              <w:rPr>
                <w:color w:val="000000"/>
                <w:sz w:val="24"/>
                <w:szCs w:val="24"/>
              </w:rPr>
              <w:t xml:space="preserve">Сфера розничной торговли Тулунского района характеризуется высоким уровнем развития конкуренции. В структуре оборота розничной торговли района доля размещения нестационарных торговых объектов на территории Тулунского </w:t>
            </w:r>
            <w:r w:rsidR="00564D4B" w:rsidRPr="00564D4B">
              <w:rPr>
                <w:color w:val="000000"/>
                <w:sz w:val="24"/>
                <w:szCs w:val="24"/>
              </w:rPr>
              <w:t>района составляет</w:t>
            </w:r>
            <w:r w:rsidRPr="00564D4B">
              <w:rPr>
                <w:color w:val="000000"/>
                <w:sz w:val="24"/>
                <w:szCs w:val="24"/>
              </w:rPr>
              <w:t xml:space="preserve"> 11,0%. Положительная динамика развития инфраструктуры розничной торговли также свидетельствует о благоприятной конкурентной среде, сложившейся в данной сфере</w:t>
            </w:r>
            <w:bookmarkEnd w:id="0"/>
          </w:p>
        </w:tc>
      </w:tr>
      <w:tr w:rsidR="00571BB5" w:rsidRPr="00564D4B" w:rsidTr="004E017C">
        <w:tc>
          <w:tcPr>
            <w:tcW w:w="166" w:type="pct"/>
            <w:vMerge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  <w:r w:rsidRPr="00564D4B">
              <w:rPr>
                <w:sz w:val="24"/>
                <w:szCs w:val="24"/>
              </w:rPr>
              <w:t>Обоснование выбора товарного рынка</w:t>
            </w:r>
          </w:p>
        </w:tc>
        <w:tc>
          <w:tcPr>
            <w:tcW w:w="3717" w:type="pct"/>
            <w:gridSpan w:val="4"/>
          </w:tcPr>
          <w:p w:rsidR="00571BB5" w:rsidRPr="00564D4B" w:rsidRDefault="00571BB5" w:rsidP="00564D4B">
            <w:pPr>
              <w:pStyle w:val="af5"/>
              <w:rPr>
                <w:sz w:val="24"/>
                <w:szCs w:val="24"/>
              </w:rPr>
            </w:pPr>
          </w:p>
        </w:tc>
      </w:tr>
    </w:tbl>
    <w:p w:rsidR="00571BB5" w:rsidRPr="00460C0E" w:rsidRDefault="00571BB5" w:rsidP="002A0642">
      <w:pPr>
        <w:spacing w:after="0" w:line="240" w:lineRule="auto"/>
        <w:ind w:right="-284" w:firstLine="709"/>
        <w:jc w:val="both"/>
        <w:rPr>
          <w:sz w:val="24"/>
          <w:szCs w:val="24"/>
        </w:rPr>
      </w:pPr>
    </w:p>
    <w:p w:rsidR="00571BB5" w:rsidRDefault="00571BB5" w:rsidP="002C0F69">
      <w:pPr>
        <w:spacing w:after="0" w:line="240" w:lineRule="auto"/>
        <w:ind w:right="-284" w:firstLine="709"/>
        <w:jc w:val="both"/>
        <w:rPr>
          <w:sz w:val="24"/>
          <w:szCs w:val="24"/>
        </w:rPr>
      </w:pPr>
    </w:p>
    <w:p w:rsidR="00571BB5" w:rsidRDefault="00571BB5" w:rsidP="002C0F69">
      <w:pPr>
        <w:spacing w:after="0" w:line="240" w:lineRule="auto"/>
        <w:ind w:right="-284" w:firstLine="709"/>
        <w:jc w:val="both"/>
        <w:rPr>
          <w:sz w:val="24"/>
          <w:szCs w:val="24"/>
        </w:rPr>
      </w:pPr>
    </w:p>
    <w:p w:rsidR="00571BB5" w:rsidRDefault="00571BB5" w:rsidP="002C0F69">
      <w:pPr>
        <w:spacing w:after="0" w:line="240" w:lineRule="auto"/>
        <w:ind w:right="-284" w:firstLine="709"/>
        <w:jc w:val="both"/>
        <w:rPr>
          <w:sz w:val="24"/>
          <w:szCs w:val="24"/>
        </w:rPr>
      </w:pPr>
    </w:p>
    <w:p w:rsidR="00571BB5" w:rsidRPr="00B368D9" w:rsidRDefault="00571BB5" w:rsidP="00490E1F">
      <w:pPr>
        <w:spacing w:after="0" w:line="240" w:lineRule="auto"/>
        <w:ind w:right="-284"/>
        <w:jc w:val="both"/>
        <w:rPr>
          <w:sz w:val="28"/>
          <w:szCs w:val="28"/>
        </w:rPr>
      </w:pPr>
      <w:r w:rsidRPr="00B368D9">
        <w:rPr>
          <w:sz w:val="28"/>
          <w:szCs w:val="28"/>
        </w:rPr>
        <w:t xml:space="preserve">Мэр Тулунского муниципального района                        </w:t>
      </w:r>
      <w:r w:rsidR="00490E1F">
        <w:rPr>
          <w:sz w:val="28"/>
          <w:szCs w:val="28"/>
        </w:rPr>
        <w:t xml:space="preserve">   </w:t>
      </w:r>
      <w:r w:rsidRPr="00B368D9">
        <w:rPr>
          <w:sz w:val="28"/>
          <w:szCs w:val="28"/>
        </w:rPr>
        <w:t xml:space="preserve">                                             </w:t>
      </w:r>
      <w:r w:rsidR="00490E1F">
        <w:rPr>
          <w:sz w:val="28"/>
          <w:szCs w:val="28"/>
        </w:rPr>
        <w:t xml:space="preserve">                                     </w:t>
      </w:r>
      <w:r w:rsidRPr="00B368D9">
        <w:rPr>
          <w:sz w:val="28"/>
          <w:szCs w:val="28"/>
        </w:rPr>
        <w:t xml:space="preserve">    А.Ю.</w:t>
      </w:r>
      <w:r w:rsidR="00490E1F">
        <w:rPr>
          <w:sz w:val="28"/>
          <w:szCs w:val="28"/>
        </w:rPr>
        <w:t xml:space="preserve"> </w:t>
      </w:r>
      <w:r w:rsidRPr="00B368D9">
        <w:rPr>
          <w:sz w:val="28"/>
          <w:szCs w:val="28"/>
        </w:rPr>
        <w:t>Тюков</w:t>
      </w:r>
    </w:p>
    <w:sectPr w:rsidR="00571BB5" w:rsidRPr="00B368D9" w:rsidSect="00345177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B5" w:rsidRDefault="00571BB5" w:rsidP="003E1722">
      <w:pPr>
        <w:spacing w:after="0" w:line="240" w:lineRule="auto"/>
      </w:pPr>
      <w:r>
        <w:separator/>
      </w:r>
    </w:p>
  </w:endnote>
  <w:endnote w:type="continuationSeparator" w:id="0">
    <w:p w:rsidR="00571BB5" w:rsidRDefault="00571BB5" w:rsidP="003E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B5" w:rsidRDefault="00571BB5" w:rsidP="003E1722">
      <w:pPr>
        <w:spacing w:after="0" w:line="240" w:lineRule="auto"/>
      </w:pPr>
      <w:r>
        <w:separator/>
      </w:r>
    </w:p>
  </w:footnote>
  <w:footnote w:type="continuationSeparator" w:id="0">
    <w:p w:rsidR="00571BB5" w:rsidRDefault="00571BB5" w:rsidP="003E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B5" w:rsidRPr="00512C8F" w:rsidRDefault="00571BB5">
    <w:pPr>
      <w:pStyle w:val="a3"/>
      <w:jc w:val="center"/>
      <w:rPr>
        <w:sz w:val="28"/>
        <w:szCs w:val="28"/>
      </w:rPr>
    </w:pPr>
    <w:r w:rsidRPr="00512C8F">
      <w:rPr>
        <w:sz w:val="28"/>
        <w:szCs w:val="28"/>
      </w:rPr>
      <w:fldChar w:fldCharType="begin"/>
    </w:r>
    <w:r w:rsidRPr="00512C8F">
      <w:rPr>
        <w:sz w:val="28"/>
        <w:szCs w:val="28"/>
      </w:rPr>
      <w:instrText>PAGE   \* MERGEFORMAT</w:instrText>
    </w:r>
    <w:r w:rsidRPr="00512C8F">
      <w:rPr>
        <w:sz w:val="28"/>
        <w:szCs w:val="28"/>
      </w:rPr>
      <w:fldChar w:fldCharType="separate"/>
    </w:r>
    <w:r w:rsidR="00490E1F">
      <w:rPr>
        <w:noProof/>
        <w:sz w:val="28"/>
        <w:szCs w:val="28"/>
      </w:rPr>
      <w:t>4</w:t>
    </w:r>
    <w:r w:rsidRPr="00512C8F">
      <w:rPr>
        <w:sz w:val="28"/>
        <w:szCs w:val="28"/>
      </w:rPr>
      <w:fldChar w:fldCharType="end"/>
    </w:r>
  </w:p>
  <w:p w:rsidR="00571BB5" w:rsidRPr="003E1722" w:rsidRDefault="00571BB5" w:rsidP="003E1722">
    <w:pPr>
      <w:pStyle w:val="a3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B5" w:rsidRPr="00512C8F" w:rsidRDefault="00571BB5" w:rsidP="00751037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A0FB6"/>
    <w:multiLevelType w:val="hybridMultilevel"/>
    <w:tmpl w:val="E836126E"/>
    <w:lvl w:ilvl="0" w:tplc="2DF8CA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722"/>
    <w:rsid w:val="00001965"/>
    <w:rsid w:val="00005BE9"/>
    <w:rsid w:val="000104CA"/>
    <w:rsid w:val="00014662"/>
    <w:rsid w:val="00016145"/>
    <w:rsid w:val="00016837"/>
    <w:rsid w:val="000217BD"/>
    <w:rsid w:val="00030C26"/>
    <w:rsid w:val="0003451D"/>
    <w:rsid w:val="0003480D"/>
    <w:rsid w:val="000366F7"/>
    <w:rsid w:val="0004146E"/>
    <w:rsid w:val="000429EE"/>
    <w:rsid w:val="000523E8"/>
    <w:rsid w:val="00060105"/>
    <w:rsid w:val="000659E7"/>
    <w:rsid w:val="00066D28"/>
    <w:rsid w:val="000709F3"/>
    <w:rsid w:val="00072AF6"/>
    <w:rsid w:val="00073457"/>
    <w:rsid w:val="00073492"/>
    <w:rsid w:val="00077B04"/>
    <w:rsid w:val="0008140D"/>
    <w:rsid w:val="00086CE5"/>
    <w:rsid w:val="000904B6"/>
    <w:rsid w:val="0009181A"/>
    <w:rsid w:val="00093E01"/>
    <w:rsid w:val="000955E6"/>
    <w:rsid w:val="00097DBD"/>
    <w:rsid w:val="000A6372"/>
    <w:rsid w:val="000B09AB"/>
    <w:rsid w:val="000B2054"/>
    <w:rsid w:val="000B5481"/>
    <w:rsid w:val="000C08FA"/>
    <w:rsid w:val="000C1BA8"/>
    <w:rsid w:val="000C39FA"/>
    <w:rsid w:val="000C3FA5"/>
    <w:rsid w:val="000C64D9"/>
    <w:rsid w:val="000D0353"/>
    <w:rsid w:val="000E1EEB"/>
    <w:rsid w:val="000E5DCE"/>
    <w:rsid w:val="000E7B3C"/>
    <w:rsid w:val="000F14D4"/>
    <w:rsid w:val="000F2A96"/>
    <w:rsid w:val="000F48E3"/>
    <w:rsid w:val="000F6420"/>
    <w:rsid w:val="00103181"/>
    <w:rsid w:val="00105972"/>
    <w:rsid w:val="00105A1C"/>
    <w:rsid w:val="00111BD0"/>
    <w:rsid w:val="00115678"/>
    <w:rsid w:val="0011648A"/>
    <w:rsid w:val="00116E75"/>
    <w:rsid w:val="001204EE"/>
    <w:rsid w:val="00123F12"/>
    <w:rsid w:val="001254C3"/>
    <w:rsid w:val="00125B46"/>
    <w:rsid w:val="00126802"/>
    <w:rsid w:val="0012787D"/>
    <w:rsid w:val="00134A29"/>
    <w:rsid w:val="0014284A"/>
    <w:rsid w:val="00147F8F"/>
    <w:rsid w:val="00163793"/>
    <w:rsid w:val="00164A98"/>
    <w:rsid w:val="00167F83"/>
    <w:rsid w:val="00172F89"/>
    <w:rsid w:val="001763B7"/>
    <w:rsid w:val="00176AA8"/>
    <w:rsid w:val="0017783D"/>
    <w:rsid w:val="00177FA1"/>
    <w:rsid w:val="001814E0"/>
    <w:rsid w:val="00181B86"/>
    <w:rsid w:val="001850C7"/>
    <w:rsid w:val="001933CF"/>
    <w:rsid w:val="00197013"/>
    <w:rsid w:val="001A1B9A"/>
    <w:rsid w:val="001A5068"/>
    <w:rsid w:val="001B2A07"/>
    <w:rsid w:val="001C0310"/>
    <w:rsid w:val="001D114C"/>
    <w:rsid w:val="001D1A9D"/>
    <w:rsid w:val="001D67A2"/>
    <w:rsid w:val="001D761B"/>
    <w:rsid w:val="001E2427"/>
    <w:rsid w:val="001E25F4"/>
    <w:rsid w:val="001F1274"/>
    <w:rsid w:val="00200B31"/>
    <w:rsid w:val="00201EDF"/>
    <w:rsid w:val="002035F8"/>
    <w:rsid w:val="00205B5B"/>
    <w:rsid w:val="0020787E"/>
    <w:rsid w:val="00207CCC"/>
    <w:rsid w:val="0021220B"/>
    <w:rsid w:val="00214CC5"/>
    <w:rsid w:val="002212F5"/>
    <w:rsid w:val="00224B62"/>
    <w:rsid w:val="002267AC"/>
    <w:rsid w:val="002327E4"/>
    <w:rsid w:val="0023401F"/>
    <w:rsid w:val="00241ED5"/>
    <w:rsid w:val="00244103"/>
    <w:rsid w:val="00256C74"/>
    <w:rsid w:val="0026157A"/>
    <w:rsid w:val="00262428"/>
    <w:rsid w:val="0027308E"/>
    <w:rsid w:val="002776BC"/>
    <w:rsid w:val="00277865"/>
    <w:rsid w:val="00282E46"/>
    <w:rsid w:val="00290004"/>
    <w:rsid w:val="0029099C"/>
    <w:rsid w:val="00294029"/>
    <w:rsid w:val="002A0642"/>
    <w:rsid w:val="002A0682"/>
    <w:rsid w:val="002A5979"/>
    <w:rsid w:val="002A6760"/>
    <w:rsid w:val="002A6A02"/>
    <w:rsid w:val="002B27E8"/>
    <w:rsid w:val="002B2B8F"/>
    <w:rsid w:val="002B3EF7"/>
    <w:rsid w:val="002B4775"/>
    <w:rsid w:val="002B584C"/>
    <w:rsid w:val="002B7251"/>
    <w:rsid w:val="002C0F69"/>
    <w:rsid w:val="002C1942"/>
    <w:rsid w:val="002C6B85"/>
    <w:rsid w:val="002D661A"/>
    <w:rsid w:val="002F24F2"/>
    <w:rsid w:val="002F35BA"/>
    <w:rsid w:val="002F3AF2"/>
    <w:rsid w:val="002F6548"/>
    <w:rsid w:val="003014E5"/>
    <w:rsid w:val="003158B2"/>
    <w:rsid w:val="00315B60"/>
    <w:rsid w:val="00327E30"/>
    <w:rsid w:val="00336B43"/>
    <w:rsid w:val="00341CB5"/>
    <w:rsid w:val="003430B3"/>
    <w:rsid w:val="00345177"/>
    <w:rsid w:val="00345891"/>
    <w:rsid w:val="0035108B"/>
    <w:rsid w:val="00354552"/>
    <w:rsid w:val="00357C7D"/>
    <w:rsid w:val="00357E7D"/>
    <w:rsid w:val="00360F68"/>
    <w:rsid w:val="00364556"/>
    <w:rsid w:val="003656BE"/>
    <w:rsid w:val="00365DA8"/>
    <w:rsid w:val="00376F1B"/>
    <w:rsid w:val="0038058D"/>
    <w:rsid w:val="00381A88"/>
    <w:rsid w:val="00383088"/>
    <w:rsid w:val="00385C4C"/>
    <w:rsid w:val="00387F69"/>
    <w:rsid w:val="0039693B"/>
    <w:rsid w:val="003A35C6"/>
    <w:rsid w:val="003A507F"/>
    <w:rsid w:val="003A532F"/>
    <w:rsid w:val="003A6052"/>
    <w:rsid w:val="003B59F3"/>
    <w:rsid w:val="003B738A"/>
    <w:rsid w:val="003C1B39"/>
    <w:rsid w:val="003C2A72"/>
    <w:rsid w:val="003C4B94"/>
    <w:rsid w:val="003C6A0A"/>
    <w:rsid w:val="003C7556"/>
    <w:rsid w:val="003D042D"/>
    <w:rsid w:val="003D113D"/>
    <w:rsid w:val="003D3CD0"/>
    <w:rsid w:val="003D401F"/>
    <w:rsid w:val="003E1722"/>
    <w:rsid w:val="003F22BE"/>
    <w:rsid w:val="003F4CD5"/>
    <w:rsid w:val="003F6719"/>
    <w:rsid w:val="00410F8F"/>
    <w:rsid w:val="00414BA8"/>
    <w:rsid w:val="00415625"/>
    <w:rsid w:val="00421332"/>
    <w:rsid w:val="00423710"/>
    <w:rsid w:val="00424426"/>
    <w:rsid w:val="00424EBF"/>
    <w:rsid w:val="00425BB6"/>
    <w:rsid w:val="00426260"/>
    <w:rsid w:val="004273ED"/>
    <w:rsid w:val="00430BAE"/>
    <w:rsid w:val="00433835"/>
    <w:rsid w:val="0043586F"/>
    <w:rsid w:val="00440D65"/>
    <w:rsid w:val="00450F51"/>
    <w:rsid w:val="004526D0"/>
    <w:rsid w:val="00455F0B"/>
    <w:rsid w:val="00460BDE"/>
    <w:rsid w:val="00460C0E"/>
    <w:rsid w:val="00460EA5"/>
    <w:rsid w:val="0046234B"/>
    <w:rsid w:val="00470873"/>
    <w:rsid w:val="004718AF"/>
    <w:rsid w:val="00474F34"/>
    <w:rsid w:val="00481208"/>
    <w:rsid w:val="00481337"/>
    <w:rsid w:val="0048271F"/>
    <w:rsid w:val="00485677"/>
    <w:rsid w:val="004856FC"/>
    <w:rsid w:val="004866BD"/>
    <w:rsid w:val="004866FF"/>
    <w:rsid w:val="00487EAE"/>
    <w:rsid w:val="004903A2"/>
    <w:rsid w:val="00490E1F"/>
    <w:rsid w:val="00492FF8"/>
    <w:rsid w:val="0049351D"/>
    <w:rsid w:val="00494262"/>
    <w:rsid w:val="00494D72"/>
    <w:rsid w:val="004A0E7E"/>
    <w:rsid w:val="004A17EF"/>
    <w:rsid w:val="004A2FCF"/>
    <w:rsid w:val="004B2977"/>
    <w:rsid w:val="004B4361"/>
    <w:rsid w:val="004C0A0B"/>
    <w:rsid w:val="004C1C78"/>
    <w:rsid w:val="004C2E9D"/>
    <w:rsid w:val="004E017C"/>
    <w:rsid w:val="004E388B"/>
    <w:rsid w:val="004E4A5C"/>
    <w:rsid w:val="004E63A6"/>
    <w:rsid w:val="004E6A02"/>
    <w:rsid w:val="004F3275"/>
    <w:rsid w:val="004F56AF"/>
    <w:rsid w:val="005003DC"/>
    <w:rsid w:val="00503F32"/>
    <w:rsid w:val="00510AF9"/>
    <w:rsid w:val="00512C8F"/>
    <w:rsid w:val="00516177"/>
    <w:rsid w:val="005204EE"/>
    <w:rsid w:val="00520A91"/>
    <w:rsid w:val="00540BA1"/>
    <w:rsid w:val="00540E43"/>
    <w:rsid w:val="00542260"/>
    <w:rsid w:val="0054560F"/>
    <w:rsid w:val="0055304E"/>
    <w:rsid w:val="00553CB5"/>
    <w:rsid w:val="00564D4B"/>
    <w:rsid w:val="00571313"/>
    <w:rsid w:val="00571880"/>
    <w:rsid w:val="00571BB5"/>
    <w:rsid w:val="00574650"/>
    <w:rsid w:val="00581EC5"/>
    <w:rsid w:val="005856EF"/>
    <w:rsid w:val="00586633"/>
    <w:rsid w:val="00587004"/>
    <w:rsid w:val="0059094D"/>
    <w:rsid w:val="0059612B"/>
    <w:rsid w:val="005A2145"/>
    <w:rsid w:val="005A28EE"/>
    <w:rsid w:val="005B0B74"/>
    <w:rsid w:val="005B746A"/>
    <w:rsid w:val="005C2976"/>
    <w:rsid w:val="005C4775"/>
    <w:rsid w:val="005C7FD9"/>
    <w:rsid w:val="005D2162"/>
    <w:rsid w:val="005D6CC8"/>
    <w:rsid w:val="005E28A7"/>
    <w:rsid w:val="005F075D"/>
    <w:rsid w:val="005F0C96"/>
    <w:rsid w:val="005F70B8"/>
    <w:rsid w:val="005F7FD9"/>
    <w:rsid w:val="00600712"/>
    <w:rsid w:val="00605810"/>
    <w:rsid w:val="0060646F"/>
    <w:rsid w:val="00613DD9"/>
    <w:rsid w:val="00614E1A"/>
    <w:rsid w:val="00621A90"/>
    <w:rsid w:val="006224CD"/>
    <w:rsid w:val="0062623B"/>
    <w:rsid w:val="006340E2"/>
    <w:rsid w:val="00634AA9"/>
    <w:rsid w:val="00637982"/>
    <w:rsid w:val="00646240"/>
    <w:rsid w:val="0065061D"/>
    <w:rsid w:val="00651DC6"/>
    <w:rsid w:val="006536D9"/>
    <w:rsid w:val="00654A12"/>
    <w:rsid w:val="00654B4E"/>
    <w:rsid w:val="00655BCE"/>
    <w:rsid w:val="00661647"/>
    <w:rsid w:val="00661FB2"/>
    <w:rsid w:val="00662F2F"/>
    <w:rsid w:val="00667881"/>
    <w:rsid w:val="006718D5"/>
    <w:rsid w:val="00674D3D"/>
    <w:rsid w:val="00674E7B"/>
    <w:rsid w:val="00676F7F"/>
    <w:rsid w:val="00683178"/>
    <w:rsid w:val="00695657"/>
    <w:rsid w:val="006A1E02"/>
    <w:rsid w:val="006A2FBD"/>
    <w:rsid w:val="006A309B"/>
    <w:rsid w:val="006B73A2"/>
    <w:rsid w:val="006C05C4"/>
    <w:rsid w:val="006C0A47"/>
    <w:rsid w:val="006E2F40"/>
    <w:rsid w:val="006E7E45"/>
    <w:rsid w:val="006F481C"/>
    <w:rsid w:val="006F4BC7"/>
    <w:rsid w:val="006F5984"/>
    <w:rsid w:val="006F7488"/>
    <w:rsid w:val="00700644"/>
    <w:rsid w:val="00701EBE"/>
    <w:rsid w:val="00704F34"/>
    <w:rsid w:val="007151F7"/>
    <w:rsid w:val="007155C6"/>
    <w:rsid w:val="00716C47"/>
    <w:rsid w:val="00717D71"/>
    <w:rsid w:val="00722E1D"/>
    <w:rsid w:val="00725A2F"/>
    <w:rsid w:val="007335D0"/>
    <w:rsid w:val="0074038B"/>
    <w:rsid w:val="00742465"/>
    <w:rsid w:val="0074441A"/>
    <w:rsid w:val="00751037"/>
    <w:rsid w:val="00751097"/>
    <w:rsid w:val="0075601F"/>
    <w:rsid w:val="007768C2"/>
    <w:rsid w:val="00780671"/>
    <w:rsid w:val="00780961"/>
    <w:rsid w:val="00786119"/>
    <w:rsid w:val="00790143"/>
    <w:rsid w:val="007944EB"/>
    <w:rsid w:val="00795D47"/>
    <w:rsid w:val="00796108"/>
    <w:rsid w:val="007A0072"/>
    <w:rsid w:val="007A59CB"/>
    <w:rsid w:val="007A5A6E"/>
    <w:rsid w:val="007A6992"/>
    <w:rsid w:val="007B1B9F"/>
    <w:rsid w:val="007B4765"/>
    <w:rsid w:val="007B74D5"/>
    <w:rsid w:val="007C22FF"/>
    <w:rsid w:val="007C4C02"/>
    <w:rsid w:val="007C7669"/>
    <w:rsid w:val="007D1ADC"/>
    <w:rsid w:val="007D6814"/>
    <w:rsid w:val="007D6F0F"/>
    <w:rsid w:val="007E19B2"/>
    <w:rsid w:val="007E3BFE"/>
    <w:rsid w:val="007E68F2"/>
    <w:rsid w:val="007F1A32"/>
    <w:rsid w:val="007F1E56"/>
    <w:rsid w:val="007F2019"/>
    <w:rsid w:val="007F57B5"/>
    <w:rsid w:val="007F63A1"/>
    <w:rsid w:val="008003D8"/>
    <w:rsid w:val="00801944"/>
    <w:rsid w:val="00802F95"/>
    <w:rsid w:val="0080305A"/>
    <w:rsid w:val="00805D50"/>
    <w:rsid w:val="008108F9"/>
    <w:rsid w:val="00816A66"/>
    <w:rsid w:val="00820713"/>
    <w:rsid w:val="00821AEB"/>
    <w:rsid w:val="00821C6F"/>
    <w:rsid w:val="00823ED2"/>
    <w:rsid w:val="00826455"/>
    <w:rsid w:val="0082695B"/>
    <w:rsid w:val="00827A53"/>
    <w:rsid w:val="00830942"/>
    <w:rsid w:val="00834DB7"/>
    <w:rsid w:val="00834F9B"/>
    <w:rsid w:val="00847D58"/>
    <w:rsid w:val="00850686"/>
    <w:rsid w:val="00854370"/>
    <w:rsid w:val="00857A0B"/>
    <w:rsid w:val="00861C10"/>
    <w:rsid w:val="008628E8"/>
    <w:rsid w:val="00863F94"/>
    <w:rsid w:val="00866446"/>
    <w:rsid w:val="00866AEB"/>
    <w:rsid w:val="00866CA8"/>
    <w:rsid w:val="008670E3"/>
    <w:rsid w:val="00867BD2"/>
    <w:rsid w:val="008704F6"/>
    <w:rsid w:val="00871F19"/>
    <w:rsid w:val="00896D98"/>
    <w:rsid w:val="00897DFB"/>
    <w:rsid w:val="008A1E04"/>
    <w:rsid w:val="008A20E6"/>
    <w:rsid w:val="008A313E"/>
    <w:rsid w:val="008A6060"/>
    <w:rsid w:val="008B417D"/>
    <w:rsid w:val="008B7FC7"/>
    <w:rsid w:val="008C0AC9"/>
    <w:rsid w:val="008C2C0F"/>
    <w:rsid w:val="008D66F6"/>
    <w:rsid w:val="008E08A7"/>
    <w:rsid w:val="008E144F"/>
    <w:rsid w:val="008E528B"/>
    <w:rsid w:val="008E7A02"/>
    <w:rsid w:val="008F08B4"/>
    <w:rsid w:val="008F658A"/>
    <w:rsid w:val="008F7625"/>
    <w:rsid w:val="00903A2A"/>
    <w:rsid w:val="00914C7D"/>
    <w:rsid w:val="00915965"/>
    <w:rsid w:val="00924166"/>
    <w:rsid w:val="009245AC"/>
    <w:rsid w:val="00927588"/>
    <w:rsid w:val="009313F5"/>
    <w:rsid w:val="00937DF4"/>
    <w:rsid w:val="0094290E"/>
    <w:rsid w:val="009433AA"/>
    <w:rsid w:val="00947EF8"/>
    <w:rsid w:val="00950847"/>
    <w:rsid w:val="0095473A"/>
    <w:rsid w:val="00954DB0"/>
    <w:rsid w:val="00957941"/>
    <w:rsid w:val="0096379E"/>
    <w:rsid w:val="00963D6B"/>
    <w:rsid w:val="00967D15"/>
    <w:rsid w:val="00972A30"/>
    <w:rsid w:val="00972FA1"/>
    <w:rsid w:val="00974286"/>
    <w:rsid w:val="009760EC"/>
    <w:rsid w:val="009830D5"/>
    <w:rsid w:val="0098789F"/>
    <w:rsid w:val="00987F98"/>
    <w:rsid w:val="00995FD9"/>
    <w:rsid w:val="00996DBC"/>
    <w:rsid w:val="009A047C"/>
    <w:rsid w:val="009A0DF0"/>
    <w:rsid w:val="009A5C46"/>
    <w:rsid w:val="009B0B9C"/>
    <w:rsid w:val="009B10D6"/>
    <w:rsid w:val="009B43D4"/>
    <w:rsid w:val="009B45DD"/>
    <w:rsid w:val="009B5BA8"/>
    <w:rsid w:val="009C2651"/>
    <w:rsid w:val="009C26A4"/>
    <w:rsid w:val="009C6288"/>
    <w:rsid w:val="009C702F"/>
    <w:rsid w:val="009D0D6D"/>
    <w:rsid w:val="009D240F"/>
    <w:rsid w:val="009D2DD8"/>
    <w:rsid w:val="009D656A"/>
    <w:rsid w:val="009E030C"/>
    <w:rsid w:val="009E341D"/>
    <w:rsid w:val="009E413A"/>
    <w:rsid w:val="009E5599"/>
    <w:rsid w:val="009E6E5D"/>
    <w:rsid w:val="00A055C3"/>
    <w:rsid w:val="00A06A3E"/>
    <w:rsid w:val="00A120E0"/>
    <w:rsid w:val="00A1272A"/>
    <w:rsid w:val="00A12B08"/>
    <w:rsid w:val="00A13080"/>
    <w:rsid w:val="00A178F6"/>
    <w:rsid w:val="00A2022D"/>
    <w:rsid w:val="00A42098"/>
    <w:rsid w:val="00A47337"/>
    <w:rsid w:val="00A53E94"/>
    <w:rsid w:val="00A61ADB"/>
    <w:rsid w:val="00A75A03"/>
    <w:rsid w:val="00A760B0"/>
    <w:rsid w:val="00A76C98"/>
    <w:rsid w:val="00AA1AB2"/>
    <w:rsid w:val="00AA1F21"/>
    <w:rsid w:val="00AA5D0B"/>
    <w:rsid w:val="00AC3FEC"/>
    <w:rsid w:val="00AD351E"/>
    <w:rsid w:val="00AD62AF"/>
    <w:rsid w:val="00AF2ADC"/>
    <w:rsid w:val="00AF64E2"/>
    <w:rsid w:val="00B0312A"/>
    <w:rsid w:val="00B1300E"/>
    <w:rsid w:val="00B13F04"/>
    <w:rsid w:val="00B14187"/>
    <w:rsid w:val="00B15D3B"/>
    <w:rsid w:val="00B15F32"/>
    <w:rsid w:val="00B20905"/>
    <w:rsid w:val="00B21A30"/>
    <w:rsid w:val="00B22128"/>
    <w:rsid w:val="00B22C6E"/>
    <w:rsid w:val="00B31A89"/>
    <w:rsid w:val="00B329AF"/>
    <w:rsid w:val="00B334EB"/>
    <w:rsid w:val="00B33F9B"/>
    <w:rsid w:val="00B368D9"/>
    <w:rsid w:val="00B37CBB"/>
    <w:rsid w:val="00B37EC1"/>
    <w:rsid w:val="00B4077C"/>
    <w:rsid w:val="00B449E7"/>
    <w:rsid w:val="00B57CDB"/>
    <w:rsid w:val="00B622E4"/>
    <w:rsid w:val="00B62BD7"/>
    <w:rsid w:val="00B6634D"/>
    <w:rsid w:val="00B6687E"/>
    <w:rsid w:val="00B675F3"/>
    <w:rsid w:val="00B76F81"/>
    <w:rsid w:val="00B774F0"/>
    <w:rsid w:val="00B77986"/>
    <w:rsid w:val="00B83DEB"/>
    <w:rsid w:val="00B84CFF"/>
    <w:rsid w:val="00B86A54"/>
    <w:rsid w:val="00B872A1"/>
    <w:rsid w:val="00B90496"/>
    <w:rsid w:val="00B920BD"/>
    <w:rsid w:val="00B9304F"/>
    <w:rsid w:val="00B9319D"/>
    <w:rsid w:val="00BA1373"/>
    <w:rsid w:val="00BA31B0"/>
    <w:rsid w:val="00BA4EB4"/>
    <w:rsid w:val="00BA6EFE"/>
    <w:rsid w:val="00BB1E7E"/>
    <w:rsid w:val="00BB3B70"/>
    <w:rsid w:val="00BB5796"/>
    <w:rsid w:val="00BB617F"/>
    <w:rsid w:val="00BC175A"/>
    <w:rsid w:val="00BC3DF1"/>
    <w:rsid w:val="00BC5414"/>
    <w:rsid w:val="00BC6C8D"/>
    <w:rsid w:val="00BD1658"/>
    <w:rsid w:val="00BD28F4"/>
    <w:rsid w:val="00BE382D"/>
    <w:rsid w:val="00C035B3"/>
    <w:rsid w:val="00C05EBC"/>
    <w:rsid w:val="00C0708C"/>
    <w:rsid w:val="00C10B6F"/>
    <w:rsid w:val="00C11B35"/>
    <w:rsid w:val="00C129F2"/>
    <w:rsid w:val="00C13441"/>
    <w:rsid w:val="00C1523E"/>
    <w:rsid w:val="00C17529"/>
    <w:rsid w:val="00C22B6B"/>
    <w:rsid w:val="00C32445"/>
    <w:rsid w:val="00C459C9"/>
    <w:rsid w:val="00C522EA"/>
    <w:rsid w:val="00C55EEE"/>
    <w:rsid w:val="00C605F5"/>
    <w:rsid w:val="00C610A8"/>
    <w:rsid w:val="00C61708"/>
    <w:rsid w:val="00C61778"/>
    <w:rsid w:val="00C6445E"/>
    <w:rsid w:val="00C7225E"/>
    <w:rsid w:val="00C7431F"/>
    <w:rsid w:val="00C76063"/>
    <w:rsid w:val="00C81743"/>
    <w:rsid w:val="00C81907"/>
    <w:rsid w:val="00C826F3"/>
    <w:rsid w:val="00C83BE5"/>
    <w:rsid w:val="00C83D69"/>
    <w:rsid w:val="00C87B64"/>
    <w:rsid w:val="00CA15FE"/>
    <w:rsid w:val="00CA3237"/>
    <w:rsid w:val="00CA3636"/>
    <w:rsid w:val="00CB00E3"/>
    <w:rsid w:val="00CB2CEB"/>
    <w:rsid w:val="00CB6F26"/>
    <w:rsid w:val="00CB7502"/>
    <w:rsid w:val="00CC4715"/>
    <w:rsid w:val="00CC4B34"/>
    <w:rsid w:val="00CC5166"/>
    <w:rsid w:val="00CD2501"/>
    <w:rsid w:val="00CE0CEC"/>
    <w:rsid w:val="00CE1E97"/>
    <w:rsid w:val="00CE26E3"/>
    <w:rsid w:val="00CE3C7D"/>
    <w:rsid w:val="00CF28AA"/>
    <w:rsid w:val="00CF5215"/>
    <w:rsid w:val="00D0361C"/>
    <w:rsid w:val="00D10BFF"/>
    <w:rsid w:val="00D11A69"/>
    <w:rsid w:val="00D21D03"/>
    <w:rsid w:val="00D253C1"/>
    <w:rsid w:val="00D260E8"/>
    <w:rsid w:val="00D27B90"/>
    <w:rsid w:val="00D30D41"/>
    <w:rsid w:val="00D34BE0"/>
    <w:rsid w:val="00D370BB"/>
    <w:rsid w:val="00D403F6"/>
    <w:rsid w:val="00D4292C"/>
    <w:rsid w:val="00D441EA"/>
    <w:rsid w:val="00D50DB6"/>
    <w:rsid w:val="00D526C8"/>
    <w:rsid w:val="00D55C2A"/>
    <w:rsid w:val="00D64308"/>
    <w:rsid w:val="00D6441E"/>
    <w:rsid w:val="00D66A57"/>
    <w:rsid w:val="00D720D2"/>
    <w:rsid w:val="00D74D3E"/>
    <w:rsid w:val="00D81FC8"/>
    <w:rsid w:val="00D91BA9"/>
    <w:rsid w:val="00D91C53"/>
    <w:rsid w:val="00D95081"/>
    <w:rsid w:val="00D97741"/>
    <w:rsid w:val="00D9785E"/>
    <w:rsid w:val="00DA5CE3"/>
    <w:rsid w:val="00DB181B"/>
    <w:rsid w:val="00DB4CED"/>
    <w:rsid w:val="00DB7DF2"/>
    <w:rsid w:val="00DC6614"/>
    <w:rsid w:val="00DD359F"/>
    <w:rsid w:val="00DD7551"/>
    <w:rsid w:val="00DD77DD"/>
    <w:rsid w:val="00DF299E"/>
    <w:rsid w:val="00DF4E70"/>
    <w:rsid w:val="00DF5090"/>
    <w:rsid w:val="00E00391"/>
    <w:rsid w:val="00E00AAE"/>
    <w:rsid w:val="00E01C7C"/>
    <w:rsid w:val="00E06741"/>
    <w:rsid w:val="00E147C2"/>
    <w:rsid w:val="00E14F67"/>
    <w:rsid w:val="00E165A8"/>
    <w:rsid w:val="00E16C86"/>
    <w:rsid w:val="00E200FA"/>
    <w:rsid w:val="00E20993"/>
    <w:rsid w:val="00E20BA4"/>
    <w:rsid w:val="00E2600F"/>
    <w:rsid w:val="00E2628D"/>
    <w:rsid w:val="00E33DFB"/>
    <w:rsid w:val="00E41EF7"/>
    <w:rsid w:val="00E4617E"/>
    <w:rsid w:val="00E46ADF"/>
    <w:rsid w:val="00E514BB"/>
    <w:rsid w:val="00E64134"/>
    <w:rsid w:val="00E7089A"/>
    <w:rsid w:val="00E7402B"/>
    <w:rsid w:val="00E7429E"/>
    <w:rsid w:val="00E77574"/>
    <w:rsid w:val="00E814F8"/>
    <w:rsid w:val="00E91F6F"/>
    <w:rsid w:val="00E91FCE"/>
    <w:rsid w:val="00EA37CA"/>
    <w:rsid w:val="00EA4669"/>
    <w:rsid w:val="00EA6E24"/>
    <w:rsid w:val="00EB06C2"/>
    <w:rsid w:val="00EB561C"/>
    <w:rsid w:val="00EB608F"/>
    <w:rsid w:val="00EB6A16"/>
    <w:rsid w:val="00EC470B"/>
    <w:rsid w:val="00ED360D"/>
    <w:rsid w:val="00ED45D0"/>
    <w:rsid w:val="00ED5E5B"/>
    <w:rsid w:val="00EE47EB"/>
    <w:rsid w:val="00EE7A55"/>
    <w:rsid w:val="00EF15CF"/>
    <w:rsid w:val="00EF4A70"/>
    <w:rsid w:val="00F01C5C"/>
    <w:rsid w:val="00F0733B"/>
    <w:rsid w:val="00F11848"/>
    <w:rsid w:val="00F13120"/>
    <w:rsid w:val="00F15FC6"/>
    <w:rsid w:val="00F2057B"/>
    <w:rsid w:val="00F21617"/>
    <w:rsid w:val="00F34DFB"/>
    <w:rsid w:val="00F35E24"/>
    <w:rsid w:val="00F4594C"/>
    <w:rsid w:val="00F475A5"/>
    <w:rsid w:val="00F5613F"/>
    <w:rsid w:val="00F56C97"/>
    <w:rsid w:val="00F76B8A"/>
    <w:rsid w:val="00F840BC"/>
    <w:rsid w:val="00F963B2"/>
    <w:rsid w:val="00FA5434"/>
    <w:rsid w:val="00FB2D07"/>
    <w:rsid w:val="00FC2AB1"/>
    <w:rsid w:val="00FD0D2B"/>
    <w:rsid w:val="00FD4E3B"/>
    <w:rsid w:val="00FD64AB"/>
    <w:rsid w:val="00FD7790"/>
    <w:rsid w:val="00FD77D5"/>
    <w:rsid w:val="00FD7973"/>
    <w:rsid w:val="00FE089C"/>
    <w:rsid w:val="00FE0C5B"/>
    <w:rsid w:val="00FE296C"/>
    <w:rsid w:val="00FE4938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7D13F"/>
  <w15:docId w15:val="{421E6D87-DE72-44EB-8775-C4321B83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48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7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E1722"/>
  </w:style>
  <w:style w:type="paragraph" w:styleId="a5">
    <w:name w:val="footer"/>
    <w:basedOn w:val="a"/>
    <w:link w:val="a6"/>
    <w:uiPriority w:val="99"/>
    <w:rsid w:val="003E172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E1722"/>
  </w:style>
  <w:style w:type="paragraph" w:customStyle="1" w:styleId="ConsPlusNormal">
    <w:name w:val="ConsPlusNormal"/>
    <w:uiPriority w:val="99"/>
    <w:rsid w:val="0004146E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rsid w:val="00C1523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523E"/>
    <w:rPr>
      <w:rFonts w:ascii="Segoe UI" w:hAnsi="Segoe UI"/>
      <w:sz w:val="18"/>
    </w:rPr>
  </w:style>
  <w:style w:type="character" w:styleId="a9">
    <w:name w:val="Hyperlink"/>
    <w:basedOn w:val="a0"/>
    <w:uiPriority w:val="99"/>
    <w:rsid w:val="001850C7"/>
    <w:rPr>
      <w:rFonts w:cs="Times New Roman"/>
      <w:color w:val="0563C1"/>
      <w:u w:val="single"/>
    </w:rPr>
  </w:style>
  <w:style w:type="character" w:styleId="aa">
    <w:name w:val="FollowedHyperlink"/>
    <w:basedOn w:val="a0"/>
    <w:uiPriority w:val="99"/>
    <w:semiHidden/>
    <w:rsid w:val="001850C7"/>
    <w:rPr>
      <w:rFonts w:cs="Times New Roman"/>
      <w:color w:val="954F72"/>
      <w:u w:val="single"/>
    </w:rPr>
  </w:style>
  <w:style w:type="table" w:styleId="ab">
    <w:name w:val="Table Grid"/>
    <w:basedOn w:val="a1"/>
    <w:uiPriority w:val="99"/>
    <w:rsid w:val="00030C2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742465"/>
    <w:pPr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42465"/>
    <w:rPr>
      <w:rFonts w:ascii="Times New Roman" w:hAnsi="Times New Roman"/>
      <w:sz w:val="20"/>
      <w:lang w:eastAsia="ru-RU"/>
    </w:rPr>
  </w:style>
  <w:style w:type="character" w:styleId="ae">
    <w:name w:val="footnote reference"/>
    <w:basedOn w:val="a0"/>
    <w:uiPriority w:val="99"/>
    <w:semiHidden/>
    <w:rsid w:val="00742465"/>
    <w:rPr>
      <w:rFonts w:cs="Times New Roman"/>
      <w:vertAlign w:val="superscript"/>
    </w:rPr>
  </w:style>
  <w:style w:type="paragraph" w:styleId="af">
    <w:name w:val="List Paragraph"/>
    <w:basedOn w:val="a"/>
    <w:uiPriority w:val="99"/>
    <w:qFormat/>
    <w:rsid w:val="00EF15CF"/>
    <w:pPr>
      <w:ind w:left="720"/>
      <w:contextualSpacing/>
    </w:pPr>
  </w:style>
  <w:style w:type="character" w:styleId="af0">
    <w:name w:val="annotation reference"/>
    <w:basedOn w:val="a0"/>
    <w:uiPriority w:val="99"/>
    <w:semiHidden/>
    <w:rsid w:val="000366F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0366F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0366F7"/>
    <w:rPr>
      <w:sz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0366F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0366F7"/>
    <w:rPr>
      <w:b/>
      <w:sz w:val="20"/>
      <w:lang w:eastAsia="en-US"/>
    </w:rPr>
  </w:style>
  <w:style w:type="paragraph" w:styleId="af5">
    <w:name w:val="No Spacing"/>
    <w:uiPriority w:val="1"/>
    <w:qFormat/>
    <w:rsid w:val="00717D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1011</Words>
  <Characters>5766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Валентина Владимировна Вострикова</dc:creator>
  <cp:keywords/>
  <dc:description/>
  <cp:lastModifiedBy>bakeeva</cp:lastModifiedBy>
  <cp:revision>15</cp:revision>
  <cp:lastPrinted>2022-10-28T06:13:00Z</cp:lastPrinted>
  <dcterms:created xsi:type="dcterms:W3CDTF">2022-11-24T07:08:00Z</dcterms:created>
  <dcterms:modified xsi:type="dcterms:W3CDTF">2022-12-12T06:06:00Z</dcterms:modified>
</cp:coreProperties>
</file>